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关于做好浙江省重点实验室（工程技术研究中心）标志性成果梳理工作的通知</w:t>
      </w: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各主管部门，依托单位，重点实验室（工程技术研究中心）：</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为加快推进省实验室体系建设，系统梳理全省重点实验室（工程技术研究中心）“十三五”以来取得的重大标志性成果情况，请各重点实验室（工程技术研究中心）按照附件要求，认真填报本重点实验室（工程中心）“十三五”以来获得的标志性成果。各主管部门、依托单位要认真审核，将本地区、本单位的重点实验室（工程中心）情况汇总后，电子版（word版和盖章PDF版）于10月13日前发至邮箱</w:t>
      </w:r>
      <w:r>
        <w:rPr>
          <w:rFonts w:hint="default" w:ascii="Times New Roman" w:hAnsi="Times New Roman" w:eastAsia="仿宋_GB2312" w:cs="Times New Roman"/>
          <w:sz w:val="32"/>
          <w:szCs w:val="32"/>
          <w:lang w:val="en-US" w:eastAsia="zh-CN"/>
        </w:rPr>
        <w:t>jcc@zjkjt.gov.cn</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联系人：黎海斌 0571-87055848</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r>
        <w:rPr>
          <w:rFonts w:hint="eastAsia" w:ascii="仿宋_GB2312" w:hAnsi="仿宋_GB2312" w:eastAsia="仿宋_GB2312" w:cs="仿宋_GB2312"/>
          <w:sz w:val="32"/>
          <w:szCs w:val="32"/>
          <w:lang w:val="en-US" w:eastAsia="zh-CN"/>
        </w:rPr>
        <w:t>“十三五”以来标志性成果汇总表</w:t>
      </w:r>
    </w:p>
    <w:p>
      <w:pPr>
        <w:keepNext w:val="0"/>
        <w:keepLines w:val="0"/>
        <w:pageBreakBefore w:val="0"/>
        <w:widowControl w:val="0"/>
        <w:kinsoku/>
        <w:wordWrap/>
        <w:overflowPunct/>
        <w:topLinePunct w:val="0"/>
        <w:autoSpaceDE/>
        <w:autoSpaceDN/>
        <w:bidi w:val="0"/>
        <w:adjustRightInd/>
        <w:snapToGrid/>
        <w:ind w:firstLine="64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基础处</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2021年9月30日</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default" w:ascii="Times New Roman" w:hAnsi="Times New Roman" w:eastAsia="仿宋_GB2312" w:cs="Times New Roman"/>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“十三五”以来标志性成果汇总表</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815"/>
        <w:gridCol w:w="105"/>
        <w:gridCol w:w="2175"/>
        <w:gridCol w:w="1845"/>
        <w:gridCol w:w="2055"/>
        <w:gridCol w:w="435"/>
        <w:gridCol w:w="1293"/>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2"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单位名称（盖章）：</w:t>
            </w:r>
          </w:p>
        </w:tc>
        <w:tc>
          <w:tcPr>
            <w:tcW w:w="4125" w:type="dxa"/>
            <w:gridSpan w:val="3"/>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p>
        </w:tc>
        <w:tc>
          <w:tcPr>
            <w:tcW w:w="2055"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联系人：</w:t>
            </w:r>
          </w:p>
        </w:tc>
        <w:tc>
          <w:tcPr>
            <w:tcW w:w="1728" w:type="dxa"/>
            <w:gridSpan w:val="2"/>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p>
        </w:tc>
        <w:tc>
          <w:tcPr>
            <w:tcW w:w="1772"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联系方式：</w:t>
            </w:r>
          </w:p>
        </w:tc>
        <w:tc>
          <w:tcPr>
            <w:tcW w:w="1772"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仿宋_GB2312" w:cs="Times New Roman"/>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序号</w:t>
            </w:r>
          </w:p>
        </w:tc>
        <w:tc>
          <w:tcPr>
            <w:tcW w:w="1920"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实验室名称</w:t>
            </w:r>
          </w:p>
        </w:tc>
        <w:tc>
          <w:tcPr>
            <w:tcW w:w="217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实验室主任</w:t>
            </w:r>
          </w:p>
        </w:tc>
        <w:tc>
          <w:tcPr>
            <w:tcW w:w="184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联系方式</w:t>
            </w:r>
          </w:p>
        </w:tc>
        <w:tc>
          <w:tcPr>
            <w:tcW w:w="2490"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主要研究方向（不超过3个）</w:t>
            </w:r>
          </w:p>
        </w:tc>
        <w:tc>
          <w:tcPr>
            <w:tcW w:w="4837"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b/>
                <w:bCs/>
                <w:sz w:val="28"/>
                <w:szCs w:val="28"/>
                <w:vertAlign w:val="baseline"/>
                <w:lang w:val="en-US" w:eastAsia="zh-CN"/>
              </w:rPr>
            </w:pPr>
            <w:r>
              <w:rPr>
                <w:rFonts w:hint="eastAsia" w:ascii="Times New Roman" w:hAnsi="Times New Roman" w:eastAsia="仿宋_GB2312" w:cs="Times New Roman"/>
                <w:b/>
                <w:bCs/>
                <w:sz w:val="28"/>
                <w:szCs w:val="28"/>
                <w:vertAlign w:val="baseline"/>
                <w:lang w:val="en-US" w:eastAsia="zh-CN"/>
              </w:rPr>
              <w:t>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92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XXX</w:t>
            </w:r>
          </w:p>
        </w:tc>
        <w:tc>
          <w:tcPr>
            <w:tcW w:w="217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XXX</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13345678910</w:t>
            </w:r>
          </w:p>
        </w:tc>
        <w:tc>
          <w:tcPr>
            <w:tcW w:w="249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1.xxx；2.xxx；3.xxx</w:t>
            </w:r>
          </w:p>
        </w:tc>
        <w:tc>
          <w:tcPr>
            <w:tcW w:w="4837" w:type="dxa"/>
            <w:gridSpan w:val="3"/>
          </w:tcPr>
          <w:p>
            <w:pPr>
              <w:keepNext w:val="0"/>
              <w:keepLines w:val="0"/>
              <w:pageBreakBefore w:val="0"/>
              <w:widowControl w:val="0"/>
              <w:kinsoku/>
              <w:wordWrap/>
              <w:overflowPunct/>
              <w:topLinePunct w:val="0"/>
              <w:autoSpaceDE/>
              <w:autoSpaceDN/>
              <w:bidi w:val="0"/>
              <w:snapToGrid w:val="0"/>
              <w:spacing w:line="240" w:lineRule="auto"/>
              <w:textAlignment w:val="auto"/>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举例：</w:t>
            </w:r>
          </w:p>
          <w:p>
            <w:pPr>
              <w:keepNext w:val="0"/>
              <w:keepLines w:val="0"/>
              <w:pageBreakBefore w:val="0"/>
              <w:widowControl w:val="0"/>
              <w:kinsoku/>
              <w:wordWrap/>
              <w:overflowPunct/>
              <w:topLinePunct w:val="0"/>
              <w:autoSpaceDE/>
              <w:autoSpaceDN/>
              <w:bidi w:val="0"/>
              <w:snapToGrid w:val="0"/>
              <w:spacing w:line="240" w:lineRule="auto"/>
              <w:textAlignment w:val="auto"/>
              <w:rPr>
                <w:rStyle w:val="5"/>
                <w:rFonts w:hint="eastAsia" w:ascii="仿宋_GB2312" w:hAnsi="仿宋_GB2312" w:eastAsia="仿宋_GB2312" w:cs="仿宋_GB2312"/>
                <w:color w:val="000000" w:themeColor="text1"/>
                <w:sz w:val="28"/>
                <w:szCs w:val="28"/>
                <w14:textFill>
                  <w14:solidFill>
                    <w14:schemeClr w14:val="tx1"/>
                  </w14:solidFill>
                </w14:textFill>
              </w:rPr>
            </w:pPr>
            <w:r>
              <w:rPr>
                <w:rStyle w:val="5"/>
                <w:rFonts w:hint="eastAsia" w:ascii="汉仪书宋二S" w:hAnsi="汉仪书宋二S" w:eastAsia="汉仪书宋二S" w:cs="汉仪书宋二S"/>
                <w:color w:val="000000" w:themeColor="text1"/>
                <w:sz w:val="28"/>
                <w:szCs w:val="28"/>
                <w14:textFill>
                  <w14:solidFill>
                    <w14:schemeClr w14:val="tx1"/>
                  </w14:solidFill>
                </w14:textFill>
              </w:rPr>
              <w:t>①</w:t>
            </w:r>
            <w:r>
              <w:rPr>
                <w:rStyle w:val="5"/>
                <w:rFonts w:hint="eastAsia" w:ascii="仿宋_GB2312" w:hAnsi="仿宋_GB2312" w:eastAsia="仿宋_GB2312" w:cs="仿宋_GB2312"/>
                <w:b/>
                <w:bCs/>
                <w:color w:val="000000" w:themeColor="text1"/>
                <w:sz w:val="28"/>
                <w:szCs w:val="28"/>
                <w14:textFill>
                  <w14:solidFill>
                    <w14:schemeClr w14:val="tx1"/>
                  </w14:solidFill>
                </w14:textFill>
              </w:rPr>
              <w:t>新型冠状病毒感染的肺炎疫情防控关键技术研究获省科学技术进步奖一等奖。</w:t>
            </w:r>
            <w:r>
              <w:rPr>
                <w:rStyle w:val="5"/>
                <w:rFonts w:hint="eastAsia" w:ascii="仿宋_GB2312" w:hAnsi="仿宋_GB2312" w:eastAsia="仿宋_GB2312" w:cs="仿宋_GB2312"/>
                <w:color w:val="000000" w:themeColor="text1"/>
                <w:sz w:val="28"/>
                <w:szCs w:val="28"/>
                <w:lang w:eastAsia="zh-CN"/>
                <w14:textFill>
                  <w14:solidFill>
                    <w14:schemeClr w14:val="tx1"/>
                  </w14:solidFill>
                </w14:textFill>
              </w:rPr>
              <w:t>合作</w:t>
            </w:r>
            <w:r>
              <w:rPr>
                <w:rStyle w:val="5"/>
                <w:rFonts w:hint="eastAsia" w:ascii="仿宋_GB2312" w:hAnsi="仿宋_GB2312" w:eastAsia="仿宋_GB2312" w:cs="仿宋_GB2312"/>
                <w:color w:val="000000" w:themeColor="text1"/>
                <w:sz w:val="28"/>
                <w:szCs w:val="28"/>
                <w14:textFill>
                  <w14:solidFill>
                    <w14:schemeClr w14:val="tx1"/>
                  </w14:solidFill>
                </w14:textFill>
              </w:rPr>
              <w:t>研发了全球首个新冠灭活疫苗，发现了新型冠状病毒肺炎在相对密闭的公共交通工具上存在气溶胶传播等人际间传播的重要特征，为全国新冠病毒肺炎诊疗方案将气溶胶纳入为传播途径提供了依据。通过创新集成研制新冠疫情风险五色图，科学引导分区分级疫情防控和开展复工复产，构成浙江省“一图一码一指数”精准防控经验的核心部分。</w:t>
            </w:r>
          </w:p>
          <w:p>
            <w:pPr>
              <w:keepNext w:val="0"/>
              <w:keepLines w:val="0"/>
              <w:pageBreakBefore w:val="0"/>
              <w:widowControl w:val="0"/>
              <w:kinsoku/>
              <w:wordWrap/>
              <w:overflowPunct/>
              <w:topLinePunct w:val="0"/>
              <w:autoSpaceDE/>
              <w:autoSpaceDN/>
              <w:bidi w:val="0"/>
              <w:snapToGrid w:val="0"/>
              <w:spacing w:line="240" w:lineRule="auto"/>
              <w:textAlignment w:val="auto"/>
              <w:rPr>
                <w:rStyle w:val="5"/>
                <w:rFonts w:hint="eastAsia" w:ascii="仿宋_GB2312" w:hAnsi="仿宋_GB2312" w:eastAsia="仿宋_GB2312" w:cs="仿宋_GB2312"/>
                <w:color w:val="000000" w:themeColor="text1"/>
                <w:sz w:val="28"/>
                <w:szCs w:val="28"/>
                <w:lang w:eastAsia="zh-CN"/>
                <w14:textFill>
                  <w14:solidFill>
                    <w14:schemeClr w14:val="tx1"/>
                  </w14:solidFill>
                </w14:textFill>
              </w:rPr>
            </w:pPr>
            <w:r>
              <w:rPr>
                <w:rStyle w:val="5"/>
                <w:rFonts w:hint="default" w:ascii="Calibri" w:hAnsi="Calibri" w:eastAsia="仿宋_GB2312" w:cs="Calibri"/>
                <w:color w:val="000000" w:themeColor="text1"/>
                <w:sz w:val="28"/>
                <w:szCs w:val="28"/>
                <w:lang w:val="en-US" w:eastAsia="zh-CN"/>
                <w14:textFill>
                  <w14:solidFill>
                    <w14:schemeClr w14:val="tx1"/>
                  </w14:solidFill>
                </w14:textFill>
              </w:rPr>
              <w:t>②</w:t>
            </w:r>
            <w:r>
              <w:rPr>
                <w:rStyle w:val="5"/>
                <w:rFonts w:hint="default" w:ascii="Calibri" w:hAnsi="Calibri" w:eastAsia="仿宋_GB2312" w:cs="Calibri"/>
                <w:b/>
                <w:bCs/>
                <w:color w:val="000000" w:themeColor="text1"/>
                <w:sz w:val="28"/>
                <w:szCs w:val="28"/>
                <w:lang w:val="en-US" w:eastAsia="zh-CN"/>
                <w14:textFill>
                  <w14:solidFill>
                    <w14:schemeClr w14:val="tx1"/>
                  </w14:solidFill>
                </w14:textFill>
              </w:rPr>
              <w:t>首个人类细胞图谱成功绘制</w:t>
            </w:r>
            <w:r>
              <w:rPr>
                <w:rStyle w:val="5"/>
                <w:rFonts w:hint="eastAsia" w:ascii="Calibri" w:hAnsi="Calibri" w:eastAsia="仿宋_GB2312" w:cs="Calibri"/>
                <w:b/>
                <w:bCs/>
                <w:color w:val="000000" w:themeColor="text1"/>
                <w:sz w:val="28"/>
                <w:szCs w:val="28"/>
                <w:lang w:val="en-US" w:eastAsia="zh-CN"/>
                <w14:textFill>
                  <w14:solidFill>
                    <w14:schemeClr w14:val="tx1"/>
                  </w14:solidFill>
                </w14:textFill>
              </w:rPr>
              <w:t>成果在</w:t>
            </w:r>
            <w:r>
              <w:rPr>
                <w:rStyle w:val="5"/>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nature</w:t>
            </w:r>
            <w:r>
              <w:rPr>
                <w:rStyle w:val="5"/>
                <w:rFonts w:hint="eastAsia" w:ascii="Calibri" w:hAnsi="Calibri" w:eastAsia="仿宋_GB2312" w:cs="Calibri"/>
                <w:b/>
                <w:bCs/>
                <w:color w:val="000000" w:themeColor="text1"/>
                <w:sz w:val="28"/>
                <w:szCs w:val="28"/>
                <w:lang w:val="en-US" w:eastAsia="zh-CN"/>
                <w14:textFill>
                  <w14:solidFill>
                    <w14:schemeClr w14:val="tx1"/>
                  </w14:solidFill>
                </w14:textFill>
              </w:rPr>
              <w:t>期刊发表。</w:t>
            </w:r>
            <w:r>
              <w:rPr>
                <w:rStyle w:val="5"/>
                <w:rFonts w:hint="eastAsia" w:ascii="Calibri" w:hAnsi="Calibri" w:eastAsia="仿宋_GB2312" w:cs="Calibri"/>
                <w:color w:val="000000" w:themeColor="text1"/>
                <w:sz w:val="28"/>
                <w:szCs w:val="28"/>
                <w:lang w:val="en-US" w:eastAsia="zh-CN"/>
                <w14:textFill>
                  <w14:solidFill>
                    <w14:schemeClr w14:val="tx1"/>
                  </w14:solidFill>
                </w14:textFill>
              </w:rPr>
              <w:t>成果</w:t>
            </w:r>
            <w:r>
              <w:rPr>
                <w:rStyle w:val="5"/>
                <w:rFonts w:hint="eastAsia" w:ascii="仿宋_GB2312" w:hAnsi="仿宋_GB2312" w:eastAsia="仿宋_GB2312" w:cs="仿宋_GB2312"/>
                <w:color w:val="000000" w:themeColor="text1"/>
                <w:sz w:val="28"/>
                <w:szCs w:val="28"/>
                <w14:textFill>
                  <w14:solidFill>
                    <w14:schemeClr w14:val="tx1"/>
                  </w14:solidFill>
                </w14:textFill>
              </w:rPr>
              <w:t>开发了超高通量单细胞测序技术，绘制了世界首个人类细胞图谱和最完整的白血病细胞图谱</w:t>
            </w:r>
            <w:r>
              <w:rPr>
                <w:rStyle w:val="5"/>
                <w:rFonts w:hint="eastAsia" w:ascii="仿宋_GB2312" w:hAnsi="仿宋_GB2312" w:eastAsia="仿宋_GB2312" w:cs="仿宋_GB2312"/>
                <w:color w:val="000000" w:themeColor="text1"/>
                <w:sz w:val="28"/>
                <w:szCs w:val="28"/>
                <w:lang w:eastAsia="zh-CN"/>
                <w14:textFill>
                  <w14:solidFill>
                    <w14:schemeClr w14:val="tx1"/>
                  </w14:solidFill>
                </w14:textFill>
              </w:rPr>
              <w:t>，将成为探索细胞命运决定机制的资源宝库，对人体正常与疾病细胞状态的鉴定带来深远影响。</w:t>
            </w:r>
          </w:p>
          <w:p>
            <w:pPr>
              <w:keepNext w:val="0"/>
              <w:keepLines w:val="0"/>
              <w:pageBreakBefore w:val="0"/>
              <w:widowControl w:val="0"/>
              <w:kinsoku/>
              <w:wordWrap/>
              <w:overflowPunct/>
              <w:topLinePunct w:val="0"/>
              <w:autoSpaceDE/>
              <w:autoSpaceDN/>
              <w:bidi w:val="0"/>
              <w:snapToGrid w:val="0"/>
              <w:spacing w:line="240" w:lineRule="auto"/>
              <w:textAlignment w:val="auto"/>
              <w:rPr>
                <w:rStyle w:val="5"/>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Style w:val="5"/>
                <w:rFonts w:hint="default" w:ascii="Calibri" w:hAnsi="Calibri" w:eastAsia="仿宋_GB2312" w:cs="Calibri"/>
                <w:color w:val="000000" w:themeColor="text1"/>
                <w:sz w:val="28"/>
                <w:szCs w:val="28"/>
                <w:lang w:val="en-US" w:eastAsia="zh-CN"/>
                <w14:textFill>
                  <w14:solidFill>
                    <w14:schemeClr w14:val="tx1"/>
                  </w14:solidFill>
                </w14:textFill>
              </w:rPr>
              <w:t>③</w:t>
            </w:r>
            <w:r>
              <w:rPr>
                <w:rStyle w:val="5"/>
                <w:rFonts w:hint="default" w:ascii="Calibri" w:hAnsi="Calibri" w:eastAsia="仿宋_GB2312" w:cs="Calibri"/>
                <w:b/>
                <w:bCs/>
                <w:color w:val="000000" w:themeColor="text1"/>
                <w:sz w:val="28"/>
                <w:szCs w:val="28"/>
                <w:lang w:val="en-US" w:eastAsia="zh-CN"/>
                <w14:textFill>
                  <w14:solidFill>
                    <w14:schemeClr w14:val="tx1"/>
                  </w14:solidFill>
                </w14:textFill>
              </w:rPr>
              <w:t>大规模风电电网协同控制关键技术</w:t>
            </w:r>
            <w:r>
              <w:rPr>
                <w:rStyle w:val="5"/>
                <w:rFonts w:hint="eastAsia" w:ascii="Calibri" w:hAnsi="Calibri" w:eastAsia="仿宋_GB2312" w:cs="Calibri"/>
                <w:b/>
                <w:bCs/>
                <w:color w:val="000000" w:themeColor="text1"/>
                <w:sz w:val="28"/>
                <w:szCs w:val="28"/>
                <w:lang w:val="en-US" w:eastAsia="zh-CN"/>
                <w14:textFill>
                  <w14:solidFill>
                    <w14:schemeClr w14:val="tx1"/>
                  </w14:solidFill>
                </w14:textFill>
              </w:rPr>
              <w:t>取得</w:t>
            </w:r>
            <w:r>
              <w:rPr>
                <w:rStyle w:val="5"/>
                <w:rFonts w:hint="default" w:ascii="Calibri" w:hAnsi="Calibri" w:eastAsia="仿宋_GB2312" w:cs="Calibri"/>
                <w:b/>
                <w:bCs/>
                <w:color w:val="000000" w:themeColor="text1"/>
                <w:sz w:val="28"/>
                <w:szCs w:val="28"/>
                <w:lang w:val="en-US" w:eastAsia="zh-CN"/>
                <w14:textFill>
                  <w14:solidFill>
                    <w14:schemeClr w14:val="tx1"/>
                  </w14:solidFill>
                </w14:textFill>
              </w:rPr>
              <w:t>突破</w:t>
            </w:r>
            <w:r>
              <w:rPr>
                <w:rStyle w:val="5"/>
                <w:rFonts w:hint="eastAsia" w:ascii="Calibri" w:hAnsi="Calibri" w:eastAsia="仿宋_GB2312" w:cs="Calibri"/>
                <w:b/>
                <w:bCs/>
                <w:color w:val="000000" w:themeColor="text1"/>
                <w:sz w:val="28"/>
                <w:szCs w:val="28"/>
                <w:lang w:val="en-US" w:eastAsia="zh-CN"/>
                <w14:textFill>
                  <w14:solidFill>
                    <w14:schemeClr w14:val="tx1"/>
                  </w14:solidFill>
                </w14:textFill>
              </w:rPr>
              <w:t>。</w:t>
            </w:r>
            <w:r>
              <w:rPr>
                <w:rStyle w:val="5"/>
                <w:rFonts w:hint="default" w:ascii="Calibri" w:hAnsi="Calibri" w:eastAsia="仿宋_GB2312" w:cs="Calibri"/>
                <w:color w:val="000000" w:themeColor="text1"/>
                <w:sz w:val="28"/>
                <w:szCs w:val="28"/>
                <w:lang w:val="en-US" w:eastAsia="zh-CN"/>
                <w14:textFill>
                  <w14:solidFill>
                    <w14:schemeClr w14:val="tx1"/>
                  </w14:solidFill>
                </w14:textFill>
              </w:rPr>
              <w:t>研发了电网与机组双向友好的风电机组，通过高电压穿越、惯量响应及一次调频测试认证，实现场站协同优化控制装置示范应用，引领了风电由“被动适应”到“主动支撑”的跨越式发展</w:t>
            </w:r>
            <w:r>
              <w:rPr>
                <w:rStyle w:val="5"/>
                <w:rFonts w:hint="eastAsia" w:ascii="Calibri" w:hAnsi="Calibri" w:eastAsia="仿宋_GB2312" w:cs="Calibri"/>
                <w:color w:val="000000" w:themeColor="text1"/>
                <w:sz w:val="28"/>
                <w:szCs w:val="28"/>
                <w:lang w:val="en-US" w:eastAsia="zh-CN"/>
                <w14:textFill>
                  <w14:solidFill>
                    <w14:schemeClr w14:val="tx1"/>
                  </w14:solidFill>
                </w14:textFill>
              </w:rPr>
              <w:t>。</w:t>
            </w:r>
            <w:r>
              <w:rPr>
                <w:rStyle w:val="5"/>
                <w:rFonts w:hint="default" w:ascii="Calibri" w:hAnsi="Calibri" w:eastAsia="仿宋_GB2312" w:cs="Calibri"/>
                <w:color w:val="000000" w:themeColor="text1"/>
                <w:sz w:val="28"/>
                <w:szCs w:val="28"/>
                <w:lang w:val="en-US" w:eastAsia="zh-CN"/>
                <w14:textFill>
                  <w14:solidFill>
                    <w14:schemeClr w14:val="tx1"/>
                  </w14:solidFill>
                </w14:textFill>
              </w:rPr>
              <w:t>成果在我国百余座风电场实现规模化应用，机组销量增速全国第一，并应用于“三北”地区传统机型风电场网源协调技术的改造，有效推动了我国弃风限电率的持续回落，经济与社会效益显著。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92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17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84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49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c>
          <w:tcPr>
            <w:tcW w:w="4837"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92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17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84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49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c>
          <w:tcPr>
            <w:tcW w:w="4837"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92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17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1845"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8"/>
                <w:szCs w:val="28"/>
                <w:vertAlign w:val="baseline"/>
                <w:lang w:val="en-US" w:eastAsia="zh-CN"/>
              </w:rPr>
            </w:pPr>
          </w:p>
        </w:tc>
        <w:tc>
          <w:tcPr>
            <w:tcW w:w="2490" w:type="dxa"/>
            <w:gridSpan w:val="2"/>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c>
          <w:tcPr>
            <w:tcW w:w="4837" w:type="dxa"/>
            <w:gridSpan w:val="3"/>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仿宋_GB2312" w:cs="Times New Roman"/>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填报要求：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Style w:val="5"/>
          <w:rFonts w:hint="eastAsia" w:ascii="仿宋_GB2312" w:hAnsi="仿宋_GB2312" w:eastAsia="仿宋_GB2312" w:cs="仿宋_GB2312"/>
          <w:b/>
          <w:bCs/>
          <w:color w:val="000000" w:themeColor="text1"/>
          <w:sz w:val="28"/>
          <w:szCs w:val="28"/>
          <w:lang w:val="en-US" w:eastAsia="zh-CN"/>
          <w14:textFill>
            <w14:solidFill>
              <w14:schemeClr w14:val="tx1"/>
            </w14:solidFill>
          </w14:textFill>
        </w:rPr>
        <w:t>目前主要研究方向</w:t>
      </w: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。结合本重点实验室（工程中心）近年来主要研究工作，凝练出不超过3个的研究方向。</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Style w:val="5"/>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标志性成果</w:t>
      </w: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Style w:val="5"/>
          <w:rFonts w:hint="default" w:ascii="仿宋_GB2312" w:hAnsi="仿宋_GB2312" w:eastAsia="仿宋_GB2312" w:cs="仿宋_GB2312"/>
          <w:color w:val="000000" w:themeColor="text1"/>
          <w:sz w:val="28"/>
          <w:szCs w:val="28"/>
          <w:lang w:val="en-US" w:eastAsia="zh-CN"/>
          <w14:textFill>
            <w14:solidFill>
              <w14:schemeClr w14:val="tx1"/>
            </w14:solidFill>
          </w14:textFill>
        </w:rPr>
        <w:t>①</w:t>
      </w: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重大原创性、引领性突破，如nature、science、cell等发表重要论文；</w:t>
      </w:r>
      <w:r>
        <w:rPr>
          <w:rStyle w:val="5"/>
          <w:rFonts w:hint="default" w:ascii="仿宋_GB2312" w:hAnsi="仿宋_GB2312" w:eastAsia="仿宋_GB2312" w:cs="仿宋_GB2312"/>
          <w:color w:val="000000" w:themeColor="text1"/>
          <w:sz w:val="28"/>
          <w:szCs w:val="28"/>
          <w:lang w:val="en-US" w:eastAsia="zh-CN"/>
          <w14:textFill>
            <w14:solidFill>
              <w14:schemeClr w14:val="tx1"/>
            </w14:solidFill>
          </w14:textFill>
        </w:rPr>
        <w:t>②</w:t>
      </w: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在产业支撑方面取得的关键共性技术突破；③省部级三等奖以上科技成果。</w:t>
      </w:r>
      <w:r>
        <w:rPr>
          <w:rStyle w:val="5"/>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所有标志性成果要重点突出在重大原始创新突破、关键核心技术攻关、</w:t>
      </w:r>
      <w:bookmarkStart w:id="0" w:name="_GoBack"/>
      <w:bookmarkEnd w:id="0"/>
      <w:r>
        <w:rPr>
          <w:rStyle w:val="5"/>
          <w:rFonts w:hint="eastAsia" w:ascii="仿宋_GB2312" w:hAnsi="仿宋_GB2312" w:eastAsia="仿宋_GB2312" w:cs="仿宋_GB2312"/>
          <w:b/>
          <w:bCs/>
          <w:color w:val="000000" w:themeColor="text1"/>
          <w:sz w:val="28"/>
          <w:szCs w:val="28"/>
          <w:lang w:val="en-US" w:eastAsia="zh-CN"/>
          <w14:textFill>
            <w14:solidFill>
              <w14:schemeClr w14:val="tx1"/>
            </w14:solidFill>
          </w14:textFill>
        </w:rPr>
        <w:t>支撑产业发展、成果转化应用、社会重大影响等方面的贡献和影响。</w:t>
      </w:r>
      <w:r>
        <w:rPr>
          <w:rStyle w:val="5"/>
          <w:rFonts w:hint="eastAsia" w:ascii="仿宋_GB2312" w:hAnsi="仿宋_GB2312" w:eastAsia="仿宋_GB2312" w:cs="仿宋_GB2312"/>
          <w:color w:val="000000" w:themeColor="text1"/>
          <w:sz w:val="28"/>
          <w:szCs w:val="28"/>
          <w:lang w:val="en-US" w:eastAsia="zh-CN"/>
          <w14:textFill>
            <w14:solidFill>
              <w14:schemeClr w14:val="tx1"/>
            </w14:solidFill>
          </w14:textFill>
        </w:rPr>
        <w:t>最多不超过5项，每个成果介绍不超过300字。</w:t>
      </w:r>
    </w:p>
    <w:p>
      <w:pPr>
        <w:keepNext w:val="0"/>
        <w:keepLines w:val="0"/>
        <w:pageBreakBefore w:val="0"/>
        <w:widowControl w:val="0"/>
        <w:kinsoku/>
        <w:wordWrap/>
        <w:overflowPunct/>
        <w:topLinePunct w:val="0"/>
        <w:autoSpaceDE/>
        <w:autoSpaceDN/>
        <w:bidi w:val="0"/>
        <w:snapToGrid w:val="0"/>
        <w:spacing w:line="240" w:lineRule="auto"/>
        <w:textAlignment w:val="auto"/>
        <w:rPr>
          <w:rStyle w:val="5"/>
          <w:rFonts w:hint="default" w:ascii="仿宋_GB2312" w:hAnsi="仿宋_GB2312" w:eastAsia="仿宋_GB2312" w:cs="仿宋_GB2312"/>
          <w:b/>
          <w:bCs/>
          <w:color w:val="000000" w:themeColor="text1"/>
          <w:sz w:val="28"/>
          <w:szCs w:val="28"/>
          <w:lang w:val="en-US" w:eastAsia="zh-CN"/>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A46BD"/>
    <w:rsid w:val="30042951"/>
    <w:rsid w:val="35FD9C2A"/>
    <w:rsid w:val="57ADE5D4"/>
    <w:rsid w:val="594A46BD"/>
    <w:rsid w:val="59AD75F6"/>
    <w:rsid w:val="604B0FB3"/>
    <w:rsid w:val="69317D73"/>
    <w:rsid w:val="69F721E2"/>
    <w:rsid w:val="6FB1D7F1"/>
    <w:rsid w:val="6FFFF35B"/>
    <w:rsid w:val="C7613FDF"/>
    <w:rsid w:val="CBEFD866"/>
    <w:rsid w:val="F67D9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style01"/>
    <w:basedOn w:val="4"/>
    <w:qFormat/>
    <w:uiPriority w:val="0"/>
    <w:rPr>
      <w:rFonts w:hint="eastAsia" w:ascii="仿宋" w:hAnsi="仿宋" w:eastAsia="仿宋"/>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2021-09-25T01:42:00Z</dcterms:created>
  <dc:creator>jlt</dc:creator>
  <cp:lastModifiedBy>user</cp:lastModifiedBy>
  <dcterms:modified xsi:type="dcterms:W3CDTF">2021-09-30T14:42:23Z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